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word/_rels/document.xml.rels" ContentType="application/vnd.openxmlformats-package.relationships+xml"/>
  <Override PartName="/word/media/image1.png" ContentType="image/png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true"/>
        <w:keepLines/>
        <w:numPr>
          <w:ilvl w:val="0"/>
          <w:numId w:val="0"/>
        </w:numPr>
        <w:spacing w:lineRule="auto" w:line="240"/>
        <w:ind w:left="0" w:hanging="0"/>
        <w:jc w:val="center"/>
        <w:outlineLvl w:val="2"/>
        <w:rPr>
          <w:rFonts w:eastAsia="" w:eastAsiaTheme="majorEastAsia"/>
          <w:bCs/>
          <w:szCs w:val="28"/>
          <w:lang w:eastAsia="en-US"/>
        </w:rPr>
      </w:pPr>
      <w:r>
        <w:rPr>
          <w:rFonts w:eastAsia="" w:eastAsiaTheme="majorEastAsia"/>
          <w:bCs/>
          <w:szCs w:val="28"/>
          <w:lang w:eastAsia="en-US"/>
        </w:rPr>
      </w:r>
    </w:p>
    <w:p>
      <w:pPr>
        <w:pStyle w:val="Normal"/>
        <w:keepNext w:val="true"/>
        <w:keepLines/>
        <w:numPr>
          <w:ilvl w:val="0"/>
          <w:numId w:val="0"/>
        </w:numPr>
        <w:spacing w:lineRule="auto" w:line="240"/>
        <w:ind w:left="0" w:hanging="0"/>
        <w:jc w:val="center"/>
        <w:outlineLvl w:val="2"/>
        <w:rPr>
          <w:rFonts w:eastAsia="" w:eastAsiaTheme="majorEastAsia"/>
          <w:bCs/>
          <w:szCs w:val="28"/>
          <w:lang w:eastAsia="en-US"/>
        </w:rPr>
      </w:pPr>
      <w:r>
        <w:rPr/>
        <w:drawing>
          <wp:inline distT="0" distB="0" distL="0" distR="0">
            <wp:extent cx="1104900" cy="375285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6557" t="14600" r="0" b="161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375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keepNext w:val="true"/>
        <w:keepLines/>
        <w:numPr>
          <w:ilvl w:val="0"/>
          <w:numId w:val="0"/>
        </w:numPr>
        <w:spacing w:lineRule="auto" w:line="240"/>
        <w:ind w:left="0" w:hanging="0"/>
        <w:jc w:val="center"/>
        <w:outlineLvl w:val="2"/>
        <w:rPr>
          <w:rFonts w:eastAsia="" w:eastAsiaTheme="majorEastAsia"/>
          <w:bCs/>
          <w:szCs w:val="28"/>
          <w:lang w:eastAsia="en-US"/>
        </w:rPr>
      </w:pPr>
      <w:r>
        <w:rPr>
          <w:rFonts w:eastAsia="" w:eastAsiaTheme="majorEastAsia"/>
          <w:bCs/>
          <w:szCs w:val="28"/>
          <w:lang w:eastAsia="en-US"/>
        </w:rPr>
        <w:t>Акционерное Общество</w:t>
      </w:r>
    </w:p>
    <w:p>
      <w:pPr>
        <w:pStyle w:val="Normal"/>
        <w:spacing w:lineRule="auto" w:line="240"/>
        <w:ind w:hanging="0"/>
        <w:jc w:val="center"/>
        <w:rPr>
          <w:rFonts w:eastAsia="Calibri" w:eastAsiaTheme="minorHAnsi"/>
          <w:szCs w:val="28"/>
          <w:lang w:eastAsia="en-US"/>
        </w:rPr>
      </w:pPr>
      <w:r>
        <w:rPr>
          <w:rFonts w:eastAsia="Calibri" w:eastAsiaTheme="minorHAnsi"/>
          <w:b/>
          <w:szCs w:val="28"/>
          <w:lang w:eastAsia="en-US"/>
        </w:rPr>
        <w:t>«Дальневосточная распределительная сетевая компания»</w:t>
      </w:r>
    </w:p>
    <w:p>
      <w:pPr>
        <w:pStyle w:val="Normal"/>
        <w:spacing w:lineRule="auto" w:line="240"/>
        <w:jc w:val="center"/>
        <w:rPr>
          <w:sz w:val="26"/>
          <w:szCs w:val="26"/>
        </w:rPr>
      </w:pPr>
      <w:bookmarkStart w:id="0" w:name="_Toc336885827"/>
      <w:bookmarkStart w:id="1" w:name="_Toc323988392"/>
      <w:r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>
      <w:pPr>
        <w:pStyle w:val="Normal"/>
        <w:spacing w:lineRule="auto" w:line="240"/>
        <w:ind w:hanging="0"/>
        <w:jc w:val="center"/>
        <w:rPr>
          <w:rFonts w:cs="Arial"/>
          <w:b/>
          <w:bCs/>
          <w:iCs/>
          <w:spacing w:val="40"/>
          <w:sz w:val="26"/>
          <w:szCs w:val="26"/>
        </w:rPr>
      </w:pPr>
      <w:r>
        <w:rPr>
          <w:rFonts w:cs="Arial"/>
          <w:b/>
          <w:bCs/>
          <w:iCs/>
          <w:spacing w:val="40"/>
          <w:sz w:val="26"/>
          <w:szCs w:val="26"/>
        </w:rPr>
        <w:t>ПРОТОКОЛ 1-ПС/Р1</w:t>
      </w:r>
    </w:p>
    <w:p>
      <w:pPr>
        <w:pStyle w:val="BodyTextIndent2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Закупочной комиссии Аукцион (участниками которого могут быть только субъекты МСП) </w:t>
      </w:r>
    </w:p>
    <w:p>
      <w:pPr>
        <w:pStyle w:val="BodyTextIndent2"/>
        <w:jc w:val="center"/>
        <w:rPr>
          <w:b/>
          <w:bCs/>
          <w:szCs w:val="28"/>
        </w:rPr>
      </w:pPr>
      <w:r>
        <w:rPr>
          <w:b/>
          <w:bCs/>
          <w:szCs w:val="28"/>
        </w:rPr>
        <w:t>Лот 115601-РЕМ ПРОД-2025-ДРСК-ХЭС ОКПД2 42.22.22.140. Выполнение работ по капитальному ремонту ВЛ 0,4 кВ Николаевского района электрических сетей структурного подразделения "Северные электрические сети", филиала "Хабаровские электрические сети" (с учетом поставки и монтажа самонесущих изолированных и защищенных проводов)</w:t>
      </w:r>
    </w:p>
    <w:p>
      <w:pPr>
        <w:pStyle w:val="BodyTextIndent2"/>
        <w:jc w:val="center"/>
        <w:rPr>
          <w:b/>
          <w:bCs/>
          <w:sz w:val="24"/>
        </w:rPr>
      </w:pPr>
      <w:r>
        <w:rPr>
          <w:b/>
          <w:bCs/>
          <w:sz w:val="24"/>
        </w:rPr>
      </w:r>
    </w:p>
    <w:tbl>
      <w:tblPr>
        <w:tblStyle w:val="af2"/>
        <w:tblW w:w="989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firstRow="1" w:lastRow="0" w:firstColumn="1" w:lastColumn="0"/>
      </w:tblPr>
      <w:tblGrid>
        <w:gridCol w:w="2235"/>
        <w:gridCol w:w="4678"/>
        <w:gridCol w:w="2977"/>
      </w:tblGrid>
      <w:tr>
        <w:trPr>
          <w:trHeight w:val="469" w:hRule="atLeast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г. Благовещенск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601" w:right="317"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3"/>
              <w:widowControl w:val="false"/>
              <w:numPr>
                <w:ilvl w:val="0"/>
                <w:numId w:val="0"/>
              </w:numPr>
              <w:spacing w:before="0" w:after="0"/>
              <w:ind w:lef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bidi="ar-SA"/>
              </w:rPr>
              <w:t>27.03.</w:t>
            </w:r>
            <w:r>
              <w:rPr>
                <w:rFonts w:ascii="Times New Roman" w:hAnsi="Times New Roman"/>
                <w:sz w:val="24"/>
                <w:szCs w:val="24"/>
                <w:lang w:val="ru-RU" w:bidi="ar-SA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ru-RU" w:bidi="ar-SA"/>
              </w:rPr>
              <w:t>25.</w:t>
            </w:r>
          </w:p>
        </w:tc>
      </w:tr>
    </w:tbl>
    <w:p>
      <w:pPr>
        <w:pStyle w:val="BodyTextIndent2"/>
        <w:ind w:hanging="0"/>
        <w:rPr>
          <w:b/>
          <w:bCs/>
          <w:sz w:val="24"/>
        </w:rPr>
      </w:pPr>
      <w:r>
        <w:rPr>
          <w:b/>
          <w:sz w:val="24"/>
        </w:rPr>
        <w:t>СПОСОБ И ПРЕДМЕТ ЗАКУПКИ:</w:t>
      </w:r>
      <w:r>
        <w:rPr>
          <w:sz w:val="24"/>
        </w:rPr>
        <w:t xml:space="preserve"> </w:t>
      </w:r>
      <w:r>
        <w:rPr>
          <w:b w:val="false"/>
          <w:bCs w:val="false"/>
          <w:sz w:val="24"/>
        </w:rPr>
        <w:t>Аукцион (участниками которого могут быть только субъекты МСП) Лот 115601-РЕМ ПРОД-2025-ДРСК-ХЭС ОКПД2 42.22.22.140. Выполнение работ по капитальному ремонту ВЛ 0,4 кВ Николаевского района электрических сетей структурного подразделения "Северные электрические сети", филиала "Хабаровские электрические сети" (с учетом поставки и монтажа самонесущих изолированных и защищенных проводов)</w:t>
      </w:r>
    </w:p>
    <w:p>
      <w:pPr>
        <w:pStyle w:val="BodyTextIndent2"/>
        <w:ind w:hanging="0"/>
        <w:rPr>
          <w:b/>
          <w:sz w:val="24"/>
        </w:rPr>
      </w:pPr>
      <w:r>
        <w:rPr>
          <w:b/>
          <w:sz w:val="24"/>
        </w:rPr>
      </w:r>
    </w:p>
    <w:p>
      <w:pPr>
        <w:pStyle w:val="BodyTextIndent2"/>
        <w:ind w:hanging="0"/>
        <w:rPr>
          <w:sz w:val="24"/>
        </w:rPr>
      </w:pPr>
      <w:r>
        <w:rPr>
          <w:b/>
          <w:sz w:val="24"/>
        </w:rPr>
        <w:t>НМЦ ЛОТА (в соответствии с Извещением о закупке):</w:t>
      </w:r>
      <w:r>
        <w:rPr>
          <w:sz w:val="24"/>
        </w:rPr>
        <w:t xml:space="preserve"> 16 902 900,00  руб. без учета НДС.</w:t>
      </w:r>
    </w:p>
    <w:p>
      <w:pPr>
        <w:pStyle w:val="Normal"/>
        <w:spacing w:lineRule="auto" w:line="240"/>
        <w:ind w:right="-1" w:hanging="0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spacing w:lineRule="auto" w:line="240"/>
        <w:ind w:right="-1" w:hanging="0"/>
        <w:rPr>
          <w:sz w:val="24"/>
          <w:szCs w:val="24"/>
        </w:rPr>
      </w:pPr>
      <w:r>
        <w:rPr>
          <w:b/>
          <w:sz w:val="24"/>
          <w:szCs w:val="24"/>
        </w:rPr>
        <w:t xml:space="preserve">КОЛИЧЕСТВО ПОДАННЫХ ЗАЯВОК НА УЧАСТИЕ В ЗАКУПКЕ: </w:t>
      </w:r>
      <w:r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 xml:space="preserve"> (</w:t>
      </w:r>
      <w:r>
        <w:rPr>
          <w:b/>
          <w:sz w:val="24"/>
          <w:szCs w:val="24"/>
        </w:rPr>
        <w:t>две</w:t>
      </w:r>
      <w:r>
        <w:rPr>
          <w:b/>
          <w:sz w:val="24"/>
          <w:szCs w:val="24"/>
        </w:rPr>
        <w:t xml:space="preserve">) </w:t>
      </w:r>
      <w:r>
        <w:rPr>
          <w:sz w:val="24"/>
          <w:szCs w:val="24"/>
        </w:rPr>
        <w:t>заявки</w:t>
      </w:r>
    </w:p>
    <w:p>
      <w:pPr>
        <w:pStyle w:val="Normal"/>
        <w:spacing w:lineRule="auto" w:line="240"/>
        <w:ind w:hanging="0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</w:r>
    </w:p>
    <w:tbl>
      <w:tblPr>
        <w:tblW w:w="5000" w:type="pct"/>
        <w:jc w:val="left"/>
        <w:tblInd w:w="0" w:type="dxa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4a0" w:noVBand="1" w:noHBand="0" w:lastColumn="0" w:firstColumn="1" w:lastRow="0" w:firstRow="1"/>
      </w:tblPr>
      <w:tblGrid>
        <w:gridCol w:w="282"/>
        <w:gridCol w:w="3338"/>
        <w:gridCol w:w="6017"/>
      </w:tblGrid>
      <w:tr>
        <w:trPr>
          <w:trHeight w:val="208" w:hRule="atLeast"/>
        </w:trPr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b/>
                <w:bCs/>
                <w:i/>
                <w:i/>
                <w:sz w:val="18"/>
                <w:szCs w:val="18"/>
              </w:rPr>
            </w:pPr>
            <w:r>
              <w:rPr>
                <w:b/>
                <w:bCs/>
                <w:i/>
                <w:sz w:val="18"/>
                <w:szCs w:val="18"/>
              </w:rPr>
              <w:t>№</w:t>
            </w: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rFonts w:eastAsia="Calibri"/>
                <w:b/>
                <w:bCs/>
                <w:i/>
                <w:i/>
                <w:sz w:val="18"/>
                <w:szCs w:val="18"/>
                <w:lang w:eastAsia="en-US"/>
              </w:rPr>
            </w:pPr>
            <w:r>
              <w:rPr>
                <w:b/>
                <w:i/>
                <w:sz w:val="18"/>
                <w:szCs w:val="18"/>
              </w:rPr>
              <w:t>Дата и время регистрации заявок</w:t>
            </w:r>
          </w:p>
        </w:tc>
        <w:tc>
          <w:tcPr>
            <w:tcW w:w="6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/>
                <w:i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 xml:space="preserve">Идентификационный номер Участника.     </w:t>
            </w:r>
          </w:p>
        </w:tc>
      </w:tr>
      <w:tr>
        <w:trPr>
          <w:trHeight w:val="327" w:hRule="atLeast"/>
        </w:trPr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6"/>
              <w:widowControl w:val="false"/>
              <w:ind w:hanging="0"/>
              <w:rPr>
                <w:sz w:val="24"/>
              </w:rPr>
            </w:pPr>
            <w:r>
              <w:rPr>
                <w:sz w:val="24"/>
              </w:rPr>
              <w:t>17.03.2025 09:33:30 MCK</w:t>
            </w:r>
          </w:p>
        </w:tc>
        <w:tc>
          <w:tcPr>
            <w:tcW w:w="6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6"/>
              <w:widowControl w:val="false"/>
              <w:ind w:hanging="0"/>
              <w:rPr>
                <w:sz w:val="24"/>
              </w:rPr>
            </w:pPr>
            <w:r>
              <w:rPr>
                <w:sz w:val="24"/>
              </w:rPr>
              <w:t>Заявка №365185</w:t>
            </w:r>
          </w:p>
        </w:tc>
      </w:tr>
      <w:tr>
        <w:trPr>
          <w:trHeight w:val="327" w:hRule="atLeast"/>
        </w:trPr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6"/>
              <w:widowControl w:val="false"/>
              <w:ind w:hanging="0"/>
              <w:rPr>
                <w:sz w:val="24"/>
              </w:rPr>
            </w:pPr>
            <w:r>
              <w:rPr>
                <w:sz w:val="24"/>
              </w:rPr>
              <w:t>18.03.2025 07:59:23 MCK</w:t>
            </w:r>
          </w:p>
        </w:tc>
        <w:tc>
          <w:tcPr>
            <w:tcW w:w="6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6"/>
              <w:widowControl w:val="false"/>
              <w:ind w:hanging="0"/>
              <w:rPr>
                <w:sz w:val="24"/>
              </w:rPr>
            </w:pPr>
            <w:r>
              <w:rPr>
                <w:sz w:val="24"/>
              </w:rPr>
              <w:t>Заявка №365632</w:t>
            </w:r>
          </w:p>
        </w:tc>
      </w:tr>
    </w:tbl>
    <w:p>
      <w:pPr>
        <w:pStyle w:val="Normal"/>
        <w:spacing w:lineRule="auto" w:line="240"/>
        <w:ind w:hanging="0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</w:r>
    </w:p>
    <w:p>
      <w:pPr>
        <w:pStyle w:val="Normal"/>
        <w:spacing w:lineRule="auto" w:line="240"/>
        <w:ind w:hanging="0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>ВОПРОСЫ, ВЫНОСИМЫЕ НА РАССМОТРЕНИЕ ЗАКУПОЧНОЙ КОМИССИИ:</w:t>
      </w:r>
    </w:p>
    <w:p>
      <w:pPr>
        <w:pStyle w:val="BodyTextIndent2"/>
        <w:numPr>
          <w:ilvl w:val="0"/>
          <w:numId w:val="8"/>
        </w:numPr>
        <w:tabs>
          <w:tab w:val="clear" w:pos="708"/>
          <w:tab w:val="left" w:pos="284" w:leader="none"/>
          <w:tab w:val="left" w:pos="567" w:leader="none"/>
        </w:tabs>
        <w:ind w:left="0" w:firstLine="567"/>
        <w:rPr>
          <w:bCs/>
          <w:i/>
          <w:i/>
          <w:iCs/>
          <w:sz w:val="24"/>
        </w:rPr>
      </w:pPr>
      <w:r>
        <w:rPr>
          <w:bCs/>
          <w:i/>
          <w:iCs/>
          <w:sz w:val="24"/>
        </w:rPr>
        <w:t>О рассмотрении результатов оценки первых частей заявок.</w:t>
      </w:r>
      <w:r>
        <w:rPr>
          <w:sz w:val="24"/>
        </w:rPr>
        <w:t xml:space="preserve"> </w:t>
      </w:r>
    </w:p>
    <w:p>
      <w:pPr>
        <w:pStyle w:val="BodyTextIndent2"/>
        <w:numPr>
          <w:ilvl w:val="0"/>
          <w:numId w:val="9"/>
        </w:numPr>
        <w:tabs>
          <w:tab w:val="clear" w:pos="708"/>
          <w:tab w:val="left" w:pos="284" w:leader="none"/>
          <w:tab w:val="left" w:pos="567" w:leader="none"/>
        </w:tabs>
        <w:ind w:left="0" w:firstLine="567"/>
        <w:rPr>
          <w:bCs/>
          <w:i/>
          <w:i/>
          <w:iCs/>
          <w:sz w:val="24"/>
        </w:rPr>
      </w:pPr>
      <w:r>
        <w:rPr>
          <w:bCs/>
          <w:i/>
          <w:iCs/>
          <w:sz w:val="24"/>
          <w:szCs w:val="24"/>
        </w:rPr>
        <w:t>О признании заявок соответствующими условиям Документации о закупке о закупке по результатам рассмотрения первых частей заявок</w:t>
      </w:r>
    </w:p>
    <w:p>
      <w:pPr>
        <w:pStyle w:val="Normal"/>
        <w:spacing w:lineRule="auto" w:line="240"/>
        <w:rPr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BodyTextIndent2"/>
        <w:tabs>
          <w:tab w:val="clear" w:pos="708"/>
          <w:tab w:val="left" w:pos="284" w:leader="none"/>
        </w:tabs>
        <w:ind w:hanging="0"/>
        <w:rPr>
          <w:b/>
          <w:bCs/>
          <w:i/>
          <w:i/>
          <w:iCs/>
          <w:sz w:val="24"/>
          <w:u w:val="single"/>
        </w:rPr>
      </w:pPr>
      <w:r>
        <w:rPr>
          <w:b/>
          <w:bCs/>
          <w:i/>
          <w:iCs/>
          <w:sz w:val="24"/>
          <w:u w:val="single"/>
        </w:rPr>
        <w:t>ВОПРОС № 1</w:t>
      </w:r>
      <w:r>
        <w:rPr>
          <w:b/>
          <w:bCs/>
          <w:i/>
          <w:iCs/>
          <w:sz w:val="24"/>
        </w:rPr>
        <w:t xml:space="preserve"> « О рассмотрении результатов оценки первых частей заявок»</w:t>
      </w:r>
    </w:p>
    <w:p>
      <w:pPr>
        <w:pStyle w:val="Normal"/>
        <w:tabs>
          <w:tab w:val="clear" w:pos="708"/>
          <w:tab w:val="left" w:pos="284" w:leader="none"/>
        </w:tabs>
        <w:spacing w:lineRule="auto" w:line="240"/>
        <w:ind w:hanging="0"/>
        <w:rPr>
          <w:b/>
          <w:sz w:val="24"/>
          <w:szCs w:val="24"/>
        </w:rPr>
      </w:pPr>
      <w:r>
        <w:rPr>
          <w:b/>
          <w:sz w:val="24"/>
          <w:szCs w:val="24"/>
        </w:rPr>
        <w:t>РЕШИЛИ:</w:t>
      </w:r>
    </w:p>
    <w:p>
      <w:pPr>
        <w:pStyle w:val="25"/>
        <w:keepNext w:val="true"/>
        <w:numPr>
          <w:ilvl w:val="1"/>
          <w:numId w:val="10"/>
        </w:numPr>
        <w:tabs>
          <w:tab w:val="clear" w:pos="708"/>
          <w:tab w:val="left" w:pos="0" w:leader="none"/>
          <w:tab w:val="left" w:pos="426" w:leader="none"/>
          <w:tab w:val="left" w:pos="993" w:leader="none"/>
        </w:tabs>
        <w:ind w:left="0" w:hanging="0"/>
        <w:rPr>
          <w:szCs w:val="24"/>
        </w:rPr>
      </w:pPr>
      <w:r>
        <w:rPr>
          <w:szCs w:val="24"/>
        </w:rPr>
        <w:t>Признать объем полученной информации достаточным для принятия решения.</w:t>
      </w:r>
    </w:p>
    <w:p>
      <w:pPr>
        <w:pStyle w:val="25"/>
        <w:keepNext w:val="true"/>
        <w:numPr>
          <w:ilvl w:val="1"/>
          <w:numId w:val="11"/>
        </w:numPr>
        <w:tabs>
          <w:tab w:val="clear" w:pos="708"/>
          <w:tab w:val="left" w:pos="0" w:leader="none"/>
          <w:tab w:val="left" w:pos="426" w:leader="none"/>
          <w:tab w:val="left" w:pos="993" w:leader="none"/>
        </w:tabs>
        <w:ind w:left="0" w:hanging="0"/>
        <w:rPr>
          <w:szCs w:val="24"/>
          <w:shd w:fill="FFFF99" w:val="clear"/>
        </w:rPr>
      </w:pPr>
      <w:r>
        <w:rPr>
          <w:szCs w:val="24"/>
        </w:rPr>
        <w:t>Принять к рассмотрению первые части заявок следующих участников:</w:t>
      </w:r>
    </w:p>
    <w:tbl>
      <w:tblPr>
        <w:tblW w:w="5000" w:type="pct"/>
        <w:jc w:val="left"/>
        <w:tblInd w:w="0" w:type="dxa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4a0" w:noVBand="1" w:noHBand="0" w:lastColumn="0" w:firstColumn="1" w:lastRow="0" w:firstRow="1"/>
      </w:tblPr>
      <w:tblGrid>
        <w:gridCol w:w="282"/>
        <w:gridCol w:w="3341"/>
        <w:gridCol w:w="6014"/>
      </w:tblGrid>
      <w:tr>
        <w:trPr>
          <w:trHeight w:val="308" w:hRule="atLeast"/>
        </w:trPr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b/>
                <w:bCs/>
                <w:i/>
                <w:i/>
                <w:sz w:val="18"/>
                <w:szCs w:val="18"/>
              </w:rPr>
            </w:pPr>
            <w:r>
              <w:rPr>
                <w:b/>
                <w:bCs/>
                <w:i/>
                <w:sz w:val="18"/>
                <w:szCs w:val="18"/>
              </w:rPr>
              <w:t>№</w:t>
            </w:r>
          </w:p>
        </w:tc>
        <w:tc>
          <w:tcPr>
            <w:tcW w:w="3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rFonts w:eastAsia="Calibri"/>
                <w:b/>
                <w:bCs/>
                <w:i/>
                <w:i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</w:rPr>
              <w:t>Дата и время регистрации заявок</w:t>
            </w:r>
          </w:p>
        </w:tc>
        <w:tc>
          <w:tcPr>
            <w:tcW w:w="6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/>
                <w:i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 xml:space="preserve">Идентификационный номер Участника.     </w:t>
            </w:r>
          </w:p>
        </w:tc>
      </w:tr>
      <w:tr>
        <w:trPr>
          <w:trHeight w:val="208" w:hRule="atLeast"/>
        </w:trPr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3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6"/>
              <w:widowControl w:val="false"/>
              <w:ind w:hanging="0"/>
              <w:rPr>
                <w:sz w:val="24"/>
              </w:rPr>
            </w:pPr>
            <w:r>
              <w:rPr>
                <w:sz w:val="24"/>
              </w:rPr>
              <w:t>17.03.2025 09:33:30 MCK</w:t>
            </w:r>
          </w:p>
        </w:tc>
        <w:tc>
          <w:tcPr>
            <w:tcW w:w="6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6"/>
              <w:widowControl w:val="false"/>
              <w:ind w:hanging="0"/>
              <w:rPr>
                <w:sz w:val="24"/>
              </w:rPr>
            </w:pPr>
            <w:r>
              <w:rPr>
                <w:sz w:val="24"/>
              </w:rPr>
              <w:t>Заявка №365185</w:t>
            </w:r>
          </w:p>
        </w:tc>
      </w:tr>
      <w:tr>
        <w:trPr>
          <w:trHeight w:val="208" w:hRule="atLeast"/>
        </w:trPr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6"/>
              <w:widowControl w:val="false"/>
              <w:ind w:hanging="0"/>
              <w:rPr>
                <w:sz w:val="24"/>
              </w:rPr>
            </w:pPr>
            <w:r>
              <w:rPr>
                <w:sz w:val="24"/>
              </w:rPr>
              <w:t>18.03.2025 07:59:23 MCK</w:t>
            </w:r>
          </w:p>
        </w:tc>
        <w:tc>
          <w:tcPr>
            <w:tcW w:w="6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6"/>
              <w:widowControl w:val="false"/>
              <w:ind w:hanging="0"/>
              <w:rPr>
                <w:sz w:val="24"/>
              </w:rPr>
            </w:pPr>
            <w:r>
              <w:rPr>
                <w:sz w:val="24"/>
              </w:rPr>
              <w:t>Заявка №365632</w:t>
            </w:r>
          </w:p>
        </w:tc>
      </w:tr>
    </w:tbl>
    <w:p>
      <w:pPr>
        <w:pStyle w:val="Normal"/>
        <w:tabs>
          <w:tab w:val="clear" w:pos="708"/>
          <w:tab w:val="left" w:pos="284" w:leader="none"/>
          <w:tab w:val="left" w:pos="5940" w:leader="none"/>
        </w:tabs>
        <w:spacing w:lineRule="auto" w:line="240"/>
        <w:ind w:hanging="0"/>
        <w:rPr>
          <w:b/>
          <w:spacing w:val="4"/>
          <w:sz w:val="24"/>
          <w:szCs w:val="24"/>
        </w:rPr>
      </w:pPr>
      <w:r>
        <w:rPr>
          <w:b/>
          <w:spacing w:val="4"/>
          <w:sz w:val="24"/>
          <w:szCs w:val="24"/>
        </w:rPr>
      </w:r>
    </w:p>
    <w:p>
      <w:pPr>
        <w:pStyle w:val="BodyTextIndent2"/>
        <w:tabs>
          <w:tab w:val="clear" w:pos="708"/>
          <w:tab w:val="left" w:pos="284" w:leader="none"/>
        </w:tabs>
        <w:ind w:hanging="0"/>
        <w:rPr>
          <w:b/>
          <w:bCs/>
          <w:i/>
          <w:i/>
          <w:iCs/>
          <w:sz w:val="24"/>
        </w:rPr>
      </w:pPr>
      <w:r>
        <w:rPr>
          <w:b/>
          <w:bCs/>
          <w:i/>
          <w:iCs/>
          <w:sz w:val="24"/>
          <w:u w:val="single"/>
        </w:rPr>
        <w:t>ВОПРОС №2</w:t>
      </w:r>
      <w:r>
        <w:rPr>
          <w:b/>
          <w:bCs/>
          <w:i/>
          <w:iCs/>
          <w:sz w:val="24"/>
        </w:rPr>
        <w:t xml:space="preserve"> «О признании заявок соответствующими условиям Документации о закупке по результатам рассмотрения первых частей заявок»</w:t>
      </w:r>
    </w:p>
    <w:p>
      <w:pPr>
        <w:pStyle w:val="Normal"/>
        <w:tabs>
          <w:tab w:val="clear" w:pos="708"/>
          <w:tab w:val="left" w:pos="284" w:leader="none"/>
        </w:tabs>
        <w:spacing w:lineRule="auto" w:line="240"/>
        <w:ind w:hanging="0"/>
        <w:rPr>
          <w:b/>
          <w:sz w:val="24"/>
          <w:szCs w:val="24"/>
        </w:rPr>
      </w:pPr>
      <w:r>
        <w:rPr>
          <w:b/>
          <w:sz w:val="24"/>
          <w:szCs w:val="24"/>
        </w:rPr>
        <w:t>РЕШИЛИ: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284" w:leader="none"/>
          <w:tab w:val="left" w:pos="993" w:leader="none"/>
        </w:tabs>
        <w:suppressAutoHyphens w:val="true"/>
        <w:snapToGrid w:val="false"/>
        <w:spacing w:lineRule="auto" w:line="240"/>
        <w:ind w:left="0" w:hanging="0"/>
        <w:rPr>
          <w:sz w:val="24"/>
          <w:szCs w:val="24"/>
        </w:rPr>
      </w:pPr>
      <w:r>
        <w:rPr>
          <w:sz w:val="24"/>
          <w:szCs w:val="24"/>
        </w:rPr>
        <w:t xml:space="preserve">Признать </w:t>
      </w:r>
      <w:r>
        <w:rPr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 первые части заявок   следующих Участников:</w:t>
      </w:r>
    </w:p>
    <w:tbl>
      <w:tblPr>
        <w:tblW w:w="9575" w:type="dxa"/>
        <w:jc w:val="left"/>
        <w:tblInd w:w="0" w:type="dxa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4a0" w:noVBand="1" w:noHBand="0" w:lastColumn="0" w:firstColumn="1" w:lastRow="0" w:firstRow="1"/>
      </w:tblPr>
      <w:tblGrid>
        <w:gridCol w:w="744"/>
        <w:gridCol w:w="8830"/>
      </w:tblGrid>
      <w:tr>
        <w:trPr>
          <w:trHeight w:val="178" w:hRule="atLeast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/>
                <w:bCs/>
                <w:i/>
                <w:i/>
                <w:sz w:val="18"/>
                <w:szCs w:val="18"/>
              </w:rPr>
            </w:pPr>
            <w:r>
              <w:rPr>
                <w:b/>
                <w:bCs/>
                <w:i/>
                <w:sz w:val="18"/>
                <w:szCs w:val="18"/>
              </w:rPr>
              <w:t>№</w:t>
            </w:r>
          </w:p>
        </w:tc>
        <w:tc>
          <w:tcPr>
            <w:tcW w:w="8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/>
                <w:i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Идентификационный номер Участника.</w:t>
            </w:r>
          </w:p>
        </w:tc>
      </w:tr>
      <w:tr>
        <w:trPr>
          <w:trHeight w:val="178" w:hRule="atLeast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8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6"/>
              <w:widowControl w:val="false"/>
              <w:ind w:hanging="0"/>
              <w:rPr>
                <w:sz w:val="24"/>
              </w:rPr>
            </w:pPr>
            <w:r>
              <w:rPr>
                <w:sz w:val="24"/>
              </w:rPr>
              <w:t>Заявка №365185</w:t>
            </w:r>
          </w:p>
        </w:tc>
      </w:tr>
      <w:tr>
        <w:trPr>
          <w:trHeight w:val="178" w:hRule="atLeast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8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6"/>
              <w:widowControl w:val="false"/>
              <w:ind w:hanging="0"/>
              <w:rPr>
                <w:sz w:val="24"/>
              </w:rPr>
            </w:pPr>
            <w:r>
              <w:rPr>
                <w:sz w:val="24"/>
              </w:rPr>
              <w:t>Заявка №365632</w:t>
            </w:r>
          </w:p>
        </w:tc>
      </w:tr>
    </w:tbl>
    <w:p>
      <w:pPr>
        <w:pStyle w:val="Normal"/>
        <w:tabs>
          <w:tab w:val="clear" w:pos="708"/>
          <w:tab w:val="left" w:pos="284" w:leader="none"/>
        </w:tabs>
        <w:spacing w:lineRule="auto" w:line="240"/>
        <w:ind w:hanging="0"/>
        <w:rPr>
          <w:b w:val="false"/>
          <w:bCs w:val="false"/>
          <w:i w:val="false"/>
          <w:i w:val="false"/>
          <w:iCs w:val="false"/>
        </w:rPr>
      </w:pPr>
      <w:r>
        <w:rPr>
          <w:rFonts w:eastAsia="" w:eastAsiaTheme="minorEastAsia"/>
          <w:b w:val="false"/>
          <w:bCs w:val="false"/>
          <w:i w:val="false"/>
          <w:iCs w:val="false"/>
          <w:sz w:val="24"/>
          <w:szCs w:val="24"/>
        </w:rPr>
        <w:t>удовлетворяющими по существу условиям Документации о закупке и принять их к дальнейшему рассмотрению.</w:t>
      </w:r>
    </w:p>
    <w:p>
      <w:pPr>
        <w:pStyle w:val="Normal"/>
        <w:tabs>
          <w:tab w:val="clear" w:pos="708"/>
          <w:tab w:val="left" w:pos="284" w:leader="none"/>
          <w:tab w:val="left" w:pos="5940" w:leader="none"/>
        </w:tabs>
        <w:spacing w:lineRule="auto" w:line="240"/>
        <w:rPr>
          <w:b w:val="false"/>
          <w:bCs w:val="false"/>
          <w:i/>
          <w:i/>
          <w:iCs/>
          <w:spacing w:val="4"/>
          <w:sz w:val="24"/>
          <w:szCs w:val="24"/>
        </w:rPr>
      </w:pPr>
      <w:r>
        <w:rPr>
          <w:b w:val="false"/>
          <w:bCs w:val="false"/>
          <w:i/>
          <w:iCs/>
          <w:spacing w:val="4"/>
          <w:sz w:val="24"/>
          <w:szCs w:val="24"/>
        </w:rPr>
      </w:r>
    </w:p>
    <w:p>
      <w:pPr>
        <w:pStyle w:val="Normal"/>
        <w:tabs>
          <w:tab w:val="clear" w:pos="708"/>
          <w:tab w:val="left" w:pos="284" w:leader="none"/>
          <w:tab w:val="left" w:pos="5940" w:leader="none"/>
        </w:tabs>
        <w:spacing w:lineRule="auto" w:line="240"/>
        <w:ind w:hanging="0"/>
        <w:rPr>
          <w:b/>
          <w:spacing w:val="4"/>
          <w:sz w:val="24"/>
          <w:szCs w:val="24"/>
        </w:rPr>
      </w:pPr>
      <w:r>
        <w:rPr>
          <w:b/>
          <w:spacing w:val="4"/>
          <w:sz w:val="24"/>
          <w:szCs w:val="24"/>
        </w:rPr>
      </w:r>
    </w:p>
    <w:p>
      <w:pPr>
        <w:pStyle w:val="Normal"/>
        <w:tabs>
          <w:tab w:val="clear" w:pos="708"/>
          <w:tab w:val="left" w:pos="284" w:leader="none"/>
        </w:tabs>
        <w:spacing w:lineRule="auto" w:line="240"/>
        <w:ind w:hanging="0"/>
        <w:rPr>
          <w:rFonts w:eastAsia="" w:eastAsiaTheme="minorEastAsia"/>
          <w:bCs/>
          <w:i/>
          <w:i/>
          <w:iCs/>
        </w:rPr>
      </w:pPr>
      <w:r>
        <w:rPr>
          <w:rFonts w:eastAsia="" w:eastAsiaTheme="minorEastAsia"/>
          <w:bCs/>
          <w:i/>
          <w:iCs/>
        </w:rPr>
      </w:r>
    </w:p>
    <w:p>
      <w:pPr>
        <w:pStyle w:val="Normal"/>
        <w:tabs>
          <w:tab w:val="clear" w:pos="708"/>
          <w:tab w:val="left" w:pos="284" w:leader="none"/>
        </w:tabs>
        <w:spacing w:lineRule="auto" w:line="240"/>
        <w:ind w:hanging="0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tbl>
      <w:tblPr>
        <w:tblW w:w="5000" w:type="pct"/>
        <w:jc w:val="left"/>
        <w:tblInd w:w="-5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noVBand="0" w:noHBand="0" w:lastColumn="0" w:firstColumn="0" w:lastRow="0" w:firstRow="0"/>
      </w:tblPr>
      <w:tblGrid>
        <w:gridCol w:w="4690"/>
        <w:gridCol w:w="4946"/>
      </w:tblGrid>
      <w:tr>
        <w:trPr>
          <w:trHeight w:val="136" w:hRule="atLeast"/>
        </w:trPr>
        <w:tc>
          <w:tcPr>
            <w:tcW w:w="4690" w:type="dxa"/>
            <w:tcBorders/>
          </w:tcPr>
          <w:p>
            <w:pPr>
              <w:pStyle w:val="BodyText"/>
              <w:widowControl w:val="false"/>
              <w:rPr>
                <w:i/>
                <w:i/>
                <w:sz w:val="24"/>
              </w:rPr>
            </w:pPr>
            <w:r>
              <w:rPr>
                <w:b/>
                <w:bCs/>
                <w:i/>
                <w:sz w:val="24"/>
              </w:rPr>
              <w:t xml:space="preserve">Секретарь комиссии </w:t>
            </w:r>
          </w:p>
        </w:tc>
        <w:tc>
          <w:tcPr>
            <w:tcW w:w="4946" w:type="dxa"/>
            <w:tcBorders/>
          </w:tcPr>
          <w:p>
            <w:pPr>
              <w:pStyle w:val="ListNumber"/>
              <w:widowControl w:val="false"/>
              <w:spacing w:lineRule="auto" w:line="240" w:before="0" w:after="0"/>
              <w:ind w:left="505" w:hanging="505"/>
              <w:rPr>
                <w:sz w:val="24"/>
              </w:rPr>
            </w:pPr>
            <w:r>
              <w:rPr>
                <w:b/>
                <w:i/>
                <w:sz w:val="24"/>
              </w:rPr>
              <w:t>____________________               Игнатова Т.А.</w:t>
            </w:r>
          </w:p>
        </w:tc>
      </w:tr>
    </w:tbl>
    <w:p>
      <w:pPr>
        <w:pStyle w:val="BodyText"/>
        <w:jc w:val="both"/>
        <w:rPr>
          <w:i/>
          <w:i/>
          <w:sz w:val="20"/>
          <w:szCs w:val="20"/>
        </w:rPr>
      </w:pPr>
      <w:r>
        <w:rPr>
          <w:i/>
          <w:sz w:val="20"/>
          <w:szCs w:val="20"/>
        </w:rPr>
      </w:r>
      <w:bookmarkStart w:id="2" w:name="_GoBack"/>
      <w:bookmarkStart w:id="3" w:name="_GoBack"/>
      <w:bookmarkEnd w:id="3"/>
    </w:p>
    <w:p>
      <w:pPr>
        <w:pStyle w:val="BodyText"/>
        <w:jc w:val="both"/>
        <w:rPr>
          <w:i/>
          <w:i/>
          <w:sz w:val="20"/>
          <w:szCs w:val="20"/>
        </w:rPr>
      </w:pPr>
      <w:r>
        <w:rPr>
          <w:i/>
          <w:sz w:val="20"/>
          <w:szCs w:val="20"/>
        </w:rPr>
      </w:r>
    </w:p>
    <w:p>
      <w:pPr>
        <w:pStyle w:val="BodyText"/>
        <w:jc w:val="both"/>
        <w:rPr>
          <w:i/>
          <w:i/>
          <w:sz w:val="20"/>
          <w:szCs w:val="20"/>
        </w:rPr>
      </w:pPr>
      <w:r>
        <w:rPr>
          <w:i/>
          <w:sz w:val="20"/>
          <w:szCs w:val="20"/>
        </w:rPr>
      </w:r>
    </w:p>
    <w:p>
      <w:pPr>
        <w:pStyle w:val="BodyText"/>
        <w:jc w:val="both"/>
        <w:rPr>
          <w:i/>
          <w:i/>
          <w:sz w:val="20"/>
          <w:szCs w:val="20"/>
        </w:rPr>
      </w:pPr>
      <w:r>
        <w:rPr>
          <w:i/>
          <w:sz w:val="20"/>
          <w:szCs w:val="20"/>
        </w:rPr>
      </w:r>
    </w:p>
    <w:p>
      <w:pPr>
        <w:pStyle w:val="BodyText"/>
        <w:jc w:val="both"/>
        <w:rPr>
          <w:i/>
          <w:i/>
          <w:sz w:val="20"/>
          <w:szCs w:val="20"/>
        </w:rPr>
      </w:pPr>
      <w:r>
        <w:rPr>
          <w:i/>
          <w:sz w:val="20"/>
          <w:szCs w:val="20"/>
        </w:rPr>
      </w:r>
    </w:p>
    <w:p>
      <w:pPr>
        <w:pStyle w:val="BodyText"/>
        <w:jc w:val="both"/>
        <w:rPr>
          <w:i/>
          <w:i/>
          <w:sz w:val="20"/>
          <w:szCs w:val="20"/>
        </w:rPr>
      </w:pPr>
      <w:r>
        <w:rPr>
          <w:i/>
          <w:sz w:val="20"/>
          <w:szCs w:val="20"/>
        </w:rPr>
      </w:r>
    </w:p>
    <w:p>
      <w:pPr>
        <w:pStyle w:val="BodyText"/>
        <w:jc w:val="both"/>
        <w:rPr>
          <w:i/>
          <w:i/>
          <w:sz w:val="20"/>
          <w:szCs w:val="20"/>
        </w:rPr>
      </w:pPr>
      <w:r>
        <w:rPr>
          <w:i/>
          <w:sz w:val="20"/>
          <w:szCs w:val="20"/>
        </w:rPr>
      </w:r>
    </w:p>
    <w:p>
      <w:pPr>
        <w:pStyle w:val="BodyText"/>
        <w:jc w:val="both"/>
        <w:rPr>
          <w:i/>
          <w:i/>
          <w:sz w:val="20"/>
          <w:szCs w:val="20"/>
        </w:rPr>
      </w:pPr>
      <w:r>
        <w:rPr>
          <w:i/>
          <w:sz w:val="20"/>
          <w:szCs w:val="20"/>
        </w:rPr>
      </w:r>
    </w:p>
    <w:p>
      <w:pPr>
        <w:pStyle w:val="BodyText"/>
        <w:jc w:val="both"/>
        <w:rPr>
          <w:i/>
          <w:i/>
          <w:color w:val="000000"/>
          <w:sz w:val="20"/>
        </w:rPr>
      </w:pPr>
      <w:r>
        <w:rPr>
          <w:i/>
          <w:sz w:val="20"/>
          <w:szCs w:val="20"/>
        </w:rPr>
        <w:t xml:space="preserve">8(4162)  </w:t>
      </w:r>
      <w:r>
        <w:rPr>
          <w:i/>
          <w:color w:val="000000"/>
          <w:sz w:val="20"/>
        </w:rPr>
        <w:t>397-307</w:t>
      </w:r>
    </w:p>
    <w:p>
      <w:pPr>
        <w:pStyle w:val="BodyText"/>
        <w:jc w:val="both"/>
        <w:rPr>
          <w:sz w:val="24"/>
        </w:rPr>
      </w:pPr>
      <w:r>
        <w:rPr>
          <w:i/>
          <w:color w:val="000000"/>
          <w:sz w:val="20"/>
        </w:rPr>
        <w:t xml:space="preserve"> </w:t>
      </w:r>
      <w:r>
        <w:rPr>
          <w:sz w:val="20"/>
          <w:szCs w:val="20"/>
        </w:rPr>
        <w:t>ignatova-ta@drsk.ru</w:t>
      </w:r>
    </w:p>
    <w:sectPr>
      <w:headerReference w:type="default" r:id="rId3"/>
      <w:footerReference w:type="default" r:id="rId4"/>
      <w:type w:val="nextPage"/>
      <w:pgSz w:w="11906" w:h="16838"/>
      <w:pgMar w:left="1418" w:right="851" w:gutter="0" w:header="567" w:top="851" w:footer="709" w:bottom="851"/>
      <w:pgNumType w:start="1"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  <w:docPartGallery w:val="Page Numbers (Top of Page)"/>
        <w:docPartUnique w:val="true"/>
      </w:docPartObj>
      <w:id w:val="1634622026"/>
    </w:sdtPr>
    <w:sdtContent>
      <w:p>
        <w:pPr>
          <w:pStyle w:val="Footer"/>
          <w:jc w:val="right"/>
          <w:rPr/>
        </w:pPr>
        <w:r>
          <w:rPr>
            <w:sz w:val="16"/>
            <w:szCs w:val="16"/>
          </w:rPr>
          <w:t xml:space="preserve">Страница </w:t>
        </w:r>
        <w:r>
          <w:rPr>
            <w:b/>
            <w:bCs/>
            <w:sz w:val="16"/>
            <w:szCs w:val="16"/>
          </w:rPr>
          <w:fldChar w:fldCharType="begin"/>
        </w:r>
        <w:r>
          <w:rPr>
            <w:sz w:val="16"/>
            <w:b/>
            <w:szCs w:val="16"/>
            <w:bCs/>
          </w:rPr>
          <w:instrText xml:space="preserve"> PAGE </w:instrText>
        </w:r>
        <w:r>
          <w:rPr>
            <w:sz w:val="16"/>
            <w:b/>
            <w:szCs w:val="16"/>
            <w:bCs/>
          </w:rPr>
          <w:fldChar w:fldCharType="separate"/>
        </w:r>
        <w:r>
          <w:rPr>
            <w:sz w:val="16"/>
            <w:b/>
            <w:szCs w:val="16"/>
            <w:bCs/>
          </w:rPr>
          <w:t>2</w:t>
        </w:r>
        <w:r>
          <w:rPr>
            <w:sz w:val="16"/>
            <w:b/>
            <w:szCs w:val="16"/>
            <w:bCs/>
          </w:rPr>
          <w:fldChar w:fldCharType="end"/>
        </w:r>
        <w:r>
          <w:rPr>
            <w:sz w:val="16"/>
            <w:szCs w:val="16"/>
          </w:rPr>
          <w:t xml:space="preserve"> из </w:t>
        </w:r>
        <w:r>
          <w:rPr>
            <w:b/>
            <w:bCs/>
            <w:sz w:val="16"/>
            <w:szCs w:val="16"/>
          </w:rPr>
          <w:fldChar w:fldCharType="begin"/>
        </w:r>
        <w:r>
          <w:rPr>
            <w:sz w:val="16"/>
            <w:b/>
            <w:szCs w:val="16"/>
            <w:bCs/>
          </w:rPr>
          <w:instrText xml:space="preserve"> NUMPAGES </w:instrText>
        </w:r>
        <w:r>
          <w:rPr>
            <w:sz w:val="16"/>
            <w:b/>
            <w:szCs w:val="16"/>
            <w:bCs/>
          </w:rPr>
          <w:fldChar w:fldCharType="separate"/>
        </w:r>
        <w:r>
          <w:rPr>
            <w:sz w:val="16"/>
            <w:b/>
            <w:szCs w:val="16"/>
            <w:bCs/>
          </w:rPr>
          <w:t>2</w:t>
        </w:r>
        <w:r>
          <w:rPr>
            <w:sz w:val="16"/>
            <w:b/>
            <w:szCs w:val="16"/>
            <w:bCs/>
          </w:rPr>
          <w:fldChar w:fldCharType="end"/>
        </w:r>
      </w:p>
    </w:sdtContent>
  </w:sdt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>
        <w:i/>
        <w:i/>
        <w:sz w:val="20"/>
      </w:rPr>
    </w:pPr>
    <w:r>
      <w:rPr>
        <w:i/>
        <w:sz w:val="20"/>
      </w:rPr>
      <w:t xml:space="preserve">Лот  115601-РЕМ ПРОД-2025-ДРСК-ХЭС  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/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/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/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  <w:rPr/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b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b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/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7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4"/>
  </w:num>
  <w:num w:numId="9">
    <w:abstractNumId w:val="4"/>
  </w:num>
  <w:num w:numId="10">
    <w:abstractNumId w:val="5"/>
    <w:lvlOverride w:ilvl="0">
      <w:startOverride w:val="1"/>
    </w:lvlOverride>
    <w:lvlOverride w:ilvl="1">
      <w:startOverride w:val="1"/>
    </w:lvlOverride>
  </w:num>
  <w:num w:numId="11">
    <w:abstractNumId w:val="5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0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613ab2"/>
    <w:pPr>
      <w:widowControl/>
      <w:suppressAutoHyphens w:val="true"/>
      <w:bidi w:val="0"/>
      <w:spacing w:lineRule="auto" w:line="360" w:before="0" w:after="0"/>
      <w:ind w:firstLine="567"/>
      <w:jc w:val="both"/>
    </w:pPr>
    <w:rPr>
      <w:rFonts w:ascii="Times New Roman" w:hAnsi="Times New Roman" w:eastAsia="Times New Roman" w:cs="Times New Roman"/>
      <w:color w:val="auto"/>
      <w:kern w:val="0"/>
      <w:sz w:val="28"/>
      <w:szCs w:val="20"/>
      <w:lang w:val="ru-RU" w:eastAsia="ru-RU" w:bidi="ar-SA"/>
    </w:rPr>
  </w:style>
  <w:style w:type="paragraph" w:styleId="Heading1">
    <w:name w:val="Heading 1"/>
    <w:basedOn w:val="Normal"/>
    <w:next w:val="Normal"/>
    <w:link w:val="1"/>
    <w:uiPriority w:val="99"/>
    <w:qFormat/>
    <w:rsid w:val="003c690b"/>
    <w:pPr>
      <w:keepNext w:val="true"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Cs w:val="28"/>
    </w:rPr>
  </w:style>
  <w:style w:type="paragraph" w:styleId="Heading2">
    <w:name w:val="Heading 2"/>
    <w:basedOn w:val="Normal"/>
    <w:next w:val="Normal"/>
    <w:link w:val="21"/>
    <w:uiPriority w:val="99"/>
    <w:qFormat/>
    <w:rsid w:val="00b77a30"/>
    <w:pPr>
      <w:keepNext w:val="true"/>
      <w:tabs>
        <w:tab w:val="clear" w:pos="708"/>
        <w:tab w:val="left" w:pos="1134" w:leader="none"/>
      </w:tabs>
      <w:suppressAutoHyphens w:val="true"/>
      <w:spacing w:lineRule="auto" w:line="240" w:before="360" w:after="120"/>
      <w:ind w:left="1134" w:hanging="1134"/>
      <w:jc w:val="left"/>
      <w:outlineLvl w:val="1"/>
    </w:pPr>
    <w:rPr>
      <w:b/>
      <w:sz w:val="32"/>
    </w:rPr>
  </w:style>
  <w:style w:type="paragraph" w:styleId="Heading3">
    <w:name w:val="Heading 3"/>
    <w:basedOn w:val="Normal"/>
    <w:next w:val="Normal"/>
    <w:link w:val="3"/>
    <w:qFormat/>
    <w:rsid w:val="003c690b"/>
    <w:pPr>
      <w:keepNext w:val="true"/>
      <w:numPr>
        <w:ilvl w:val="2"/>
        <w:numId w:val="1"/>
      </w:numPr>
      <w:suppressAutoHyphens w:val="true"/>
      <w:spacing w:lineRule="auto" w:line="240" w:before="120" w:after="120"/>
      <w:jc w:val="left"/>
      <w:outlineLvl w:val="2"/>
    </w:pPr>
    <w:rPr>
      <w:b/>
    </w:rPr>
  </w:style>
  <w:style w:type="paragraph" w:styleId="Heading4">
    <w:name w:val="Heading 4"/>
    <w:basedOn w:val="Normal"/>
    <w:next w:val="Normal"/>
    <w:link w:val="4"/>
    <w:qFormat/>
    <w:rsid w:val="003c690b"/>
    <w:pPr>
      <w:keepNext w:val="true"/>
      <w:numPr>
        <w:ilvl w:val="3"/>
        <w:numId w:val="1"/>
      </w:numPr>
      <w:tabs>
        <w:tab w:val="clear" w:pos="708"/>
        <w:tab w:val="left" w:pos="1134" w:leader="none"/>
      </w:tabs>
      <w:suppressAutoHyphens w:val="true"/>
      <w:spacing w:lineRule="auto" w:line="240" w:before="240" w:after="120"/>
      <w:ind w:left="1134" w:firstLine="567"/>
      <w:outlineLvl w:val="3"/>
    </w:pPr>
    <w:rPr>
      <w:b/>
      <w:i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3" w:customStyle="1">
    <w:name w:val="Заголовок 3 Знак"/>
    <w:basedOn w:val="DefaultParagraphFont"/>
    <w:qFormat/>
    <w:rsid w:val="003c690b"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character" w:styleId="4" w:customStyle="1">
    <w:name w:val="Заголовок 4 Знак"/>
    <w:basedOn w:val="DefaultParagraphFont"/>
    <w:qFormat/>
    <w:rsid w:val="003c690b"/>
    <w:rPr>
      <w:rFonts w:ascii="Times New Roman" w:hAnsi="Times New Roman" w:eastAsia="Times New Roman" w:cs="Times New Roman"/>
      <w:b/>
      <w:i/>
      <w:sz w:val="28"/>
      <w:szCs w:val="20"/>
      <w:lang w:eastAsia="ru-RU"/>
    </w:rPr>
  </w:style>
  <w:style w:type="character" w:styleId="Style5" w:customStyle="1">
    <w:name w:val="комментарий"/>
    <w:qFormat/>
    <w:rsid w:val="003c690b"/>
    <w:rPr>
      <w:b/>
      <w:i/>
      <w:shd w:fill="FFFF99" w:val="clear"/>
    </w:rPr>
  </w:style>
  <w:style w:type="character" w:styleId="Style6" w:customStyle="1">
    <w:name w:val="Основной текст Знак"/>
    <w:basedOn w:val="DefaultParagraphFont"/>
    <w:qFormat/>
    <w:rsid w:val="003c690b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2" w:customStyle="1">
    <w:name w:val="Основной текст с отступом 2 Знак"/>
    <w:basedOn w:val="DefaultParagraphFont"/>
    <w:link w:val="BodyTextIndent2"/>
    <w:qFormat/>
    <w:rsid w:val="003c690b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1" w:customStyle="1">
    <w:name w:val="Заголовок 1 Знак"/>
    <w:basedOn w:val="DefaultParagraphFont"/>
    <w:uiPriority w:val="9"/>
    <w:qFormat/>
    <w:rsid w:val="003c690b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  <w:lang w:eastAsia="ru-RU"/>
    </w:rPr>
  </w:style>
  <w:style w:type="character" w:styleId="Strong">
    <w:name w:val="Strong"/>
    <w:qFormat/>
    <w:rsid w:val="003c690b"/>
    <w:rPr>
      <w:b/>
      <w:bCs/>
    </w:rPr>
  </w:style>
  <w:style w:type="character" w:styleId="Hyperlink">
    <w:name w:val="Hyperlink"/>
    <w:unhideWhenUsed/>
    <w:rsid w:val="00c02479"/>
    <w:rPr>
      <w:color w:val="0000FF"/>
      <w:u w:val="single"/>
    </w:rPr>
  </w:style>
  <w:style w:type="character" w:styleId="Style7" w:customStyle="1">
    <w:name w:val="Текст выноски Знак"/>
    <w:basedOn w:val="DefaultParagraphFont"/>
    <w:link w:val="BalloonText"/>
    <w:uiPriority w:val="99"/>
    <w:semiHidden/>
    <w:qFormat/>
    <w:rsid w:val="00da4f21"/>
    <w:rPr>
      <w:rFonts w:ascii="Tahoma" w:hAnsi="Tahoma" w:eastAsia="Times New Roman" w:cs="Tahoma"/>
      <w:sz w:val="16"/>
      <w:szCs w:val="16"/>
      <w:lang w:eastAsia="ru-RU"/>
    </w:rPr>
  </w:style>
  <w:style w:type="character" w:styleId="Style8" w:customStyle="1">
    <w:name w:val="Верхний колонтитул Знак"/>
    <w:basedOn w:val="DefaultParagraphFont"/>
    <w:uiPriority w:val="99"/>
    <w:qFormat/>
    <w:rsid w:val="00355095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9" w:customStyle="1">
    <w:name w:val="Нижний колонтитул Знак"/>
    <w:basedOn w:val="DefaultParagraphFont"/>
    <w:uiPriority w:val="99"/>
    <w:qFormat/>
    <w:rsid w:val="00355095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21" w:customStyle="1">
    <w:name w:val="Заголовок 2 Знак"/>
    <w:basedOn w:val="DefaultParagraphFont"/>
    <w:qFormat/>
    <w:rsid w:val="00b77a30"/>
    <w:rPr>
      <w:rFonts w:ascii="Times New Roman" w:hAnsi="Times New Roman" w:eastAsia="Times New Roman" w:cs="Times New Roman"/>
      <w:b/>
      <w:sz w:val="32"/>
      <w:szCs w:val="20"/>
      <w:lang w:eastAsia="ru-RU"/>
    </w:rPr>
  </w:style>
  <w:style w:type="character" w:styleId="22" w:customStyle="1">
    <w:name w:val="Пункт Знак2"/>
    <w:link w:val="Style17"/>
    <w:qFormat/>
    <w:rsid w:val="00b77a30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10" w:customStyle="1">
    <w:name w:val="Абзац списка Знак"/>
    <w:link w:val="ListParagraph"/>
    <w:uiPriority w:val="34"/>
    <w:qFormat/>
    <w:locked/>
    <w:rsid w:val="00be2705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11" w:customStyle="1">
    <w:name w:val="Подпункт Знак1"/>
    <w:link w:val="Style18"/>
    <w:qFormat/>
    <w:rsid w:val="00e168dc"/>
    <w:rPr>
      <w:rFonts w:ascii="Times New Roman" w:hAnsi="Times New Roman" w:eastAsia="Times New Roman" w:cs="Times New Roman"/>
      <w:sz w:val="26"/>
      <w:szCs w:val="26"/>
      <w:lang w:eastAsia="ru-RU"/>
    </w:rPr>
  </w:style>
  <w:style w:type="character" w:styleId="12" w:customStyle="1">
    <w:name w:val="Пункт Знак1"/>
    <w:qFormat/>
    <w:locked/>
    <w:rsid w:val="00f56ccc"/>
    <w:rPr>
      <w:rFonts w:ascii="Times New Roman" w:hAnsi="Times New Roman" w:eastAsia="Times New Roman"/>
      <w:sz w:val="28"/>
    </w:rPr>
  </w:style>
  <w:style w:type="character" w:styleId="Style11">
    <w:name w:val="[РГ] Инструкция для организатора"/>
    <w:basedOn w:val="DefaultParagraphFont"/>
    <w:qFormat/>
    <w:rPr>
      <w:i/>
      <w:iCs/>
      <w:shd w:fill="FFFF99" w:val="clear"/>
      <w:lang w:val="ru-RU"/>
    </w:rPr>
  </w:style>
  <w:style w:type="paragraph" w:styleId="Style12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BodyText">
    <w:name w:val="Body Text"/>
    <w:basedOn w:val="Normal"/>
    <w:link w:val="Style6"/>
    <w:rsid w:val="003c690b"/>
    <w:pPr>
      <w:tabs>
        <w:tab w:val="clear" w:pos="708"/>
        <w:tab w:val="right" w:pos="9360" w:leader="none"/>
      </w:tabs>
      <w:spacing w:lineRule="auto" w:line="240"/>
      <w:ind w:hanging="0"/>
      <w:jc w:val="left"/>
    </w:pPr>
    <w:rPr>
      <w:szCs w:val="24"/>
    </w:rPr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3">
    <w:name w:val="Указатель"/>
    <w:basedOn w:val="Normal"/>
    <w:qFormat/>
    <w:pPr>
      <w:suppressLineNumbers/>
    </w:pPr>
    <w:rPr>
      <w:rFonts w:cs="Lohit Devanagari"/>
    </w:rPr>
  </w:style>
  <w:style w:type="paragraph" w:styleId="BodyTextIndent2">
    <w:name w:val="Body Text Indent 2"/>
    <w:basedOn w:val="Normal"/>
    <w:link w:val="2"/>
    <w:qFormat/>
    <w:rsid w:val="003c690b"/>
    <w:pPr>
      <w:spacing w:lineRule="auto" w:line="240"/>
    </w:pPr>
    <w:rPr>
      <w:szCs w:val="24"/>
    </w:rPr>
  </w:style>
  <w:style w:type="paragraph" w:styleId="13" w:customStyle="1">
    <w:name w:val="Стиль Заголовок 1 + по ширине"/>
    <w:basedOn w:val="Heading1"/>
    <w:qFormat/>
    <w:rsid w:val="003c690b"/>
    <w:pPr>
      <w:numPr>
        <w:ilvl w:val="0"/>
        <w:numId w:val="1"/>
      </w:numPr>
      <w:suppressAutoHyphens w:val="true"/>
      <w:spacing w:lineRule="auto" w:line="240" w:before="480" w:after="240"/>
    </w:pPr>
    <w:rPr>
      <w:rFonts w:ascii="Arial" w:hAnsi="Arial" w:eastAsia="Times New Roman" w:cs="Times New Roman"/>
      <w:color w:val="auto"/>
      <w:kern w:val="2"/>
      <w:sz w:val="40"/>
      <w:szCs w:val="20"/>
    </w:rPr>
  </w:style>
  <w:style w:type="paragraph" w:styleId="ListNumber">
    <w:name w:val="List Number"/>
    <w:basedOn w:val="Normal"/>
    <w:qFormat/>
    <w:rsid w:val="003c690b"/>
    <w:pPr>
      <w:spacing w:before="60" w:after="0"/>
      <w:ind w:hanging="0"/>
    </w:pPr>
    <w:rPr>
      <w:szCs w:val="24"/>
    </w:rPr>
  </w:style>
  <w:style w:type="paragraph" w:styleId="NormalWeb">
    <w:name w:val="Normal (Web)"/>
    <w:basedOn w:val="Normal"/>
    <w:qFormat/>
    <w:rsid w:val="003c690b"/>
    <w:pPr>
      <w:spacing w:lineRule="auto" w:line="240" w:beforeAutospacing="1" w:afterAutospacing="1"/>
      <w:ind w:hanging="0"/>
      <w:jc w:val="left"/>
    </w:pPr>
    <w:rPr>
      <w:sz w:val="24"/>
      <w:szCs w:val="24"/>
    </w:rPr>
  </w:style>
  <w:style w:type="paragraph" w:styleId="ListParagraph">
    <w:name w:val="List Paragraph"/>
    <w:basedOn w:val="Normal"/>
    <w:link w:val="Style10"/>
    <w:uiPriority w:val="34"/>
    <w:qFormat/>
    <w:rsid w:val="003c690b"/>
    <w:pPr>
      <w:spacing w:before="0" w:after="0"/>
      <w:ind w:left="720" w:firstLine="567"/>
      <w:contextualSpacing/>
    </w:pPr>
    <w:rPr/>
  </w:style>
  <w:style w:type="paragraph" w:styleId="211" w:customStyle="1">
    <w:name w:val="Основной текст с отступом 21"/>
    <w:basedOn w:val="Normal"/>
    <w:qFormat/>
    <w:rsid w:val="00c02479"/>
    <w:pPr>
      <w:overflowPunct w:val="true"/>
      <w:spacing w:lineRule="auto" w:line="240"/>
      <w:jc w:val="left"/>
      <w:textAlignment w:val="baseline"/>
    </w:pPr>
    <w:rPr>
      <w:sz w:val="24"/>
    </w:rPr>
  </w:style>
  <w:style w:type="paragraph" w:styleId="BalloonText">
    <w:name w:val="Balloon Text"/>
    <w:basedOn w:val="Normal"/>
    <w:link w:val="Style7"/>
    <w:uiPriority w:val="99"/>
    <w:semiHidden/>
    <w:unhideWhenUsed/>
    <w:qFormat/>
    <w:rsid w:val="00da4f21"/>
    <w:pPr>
      <w:spacing w:lineRule="auto" w:line="240"/>
    </w:pPr>
    <w:rPr>
      <w:rFonts w:ascii="Tahoma" w:hAnsi="Tahoma" w:cs="Tahoma"/>
      <w:sz w:val="16"/>
      <w:szCs w:val="16"/>
    </w:rPr>
  </w:style>
  <w:style w:type="paragraph" w:styleId="Style14">
    <w:name w:val="Колонтитул"/>
    <w:basedOn w:val="Normal"/>
    <w:qFormat/>
    <w:pPr/>
    <w:rPr/>
  </w:style>
  <w:style w:type="paragraph" w:styleId="Header">
    <w:name w:val="Header"/>
    <w:basedOn w:val="Normal"/>
    <w:link w:val="Style8"/>
    <w:uiPriority w:val="99"/>
    <w:unhideWhenUsed/>
    <w:rsid w:val="00355095"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/>
  </w:style>
  <w:style w:type="paragraph" w:styleId="Footer">
    <w:name w:val="Footer"/>
    <w:basedOn w:val="Normal"/>
    <w:link w:val="Style9"/>
    <w:uiPriority w:val="99"/>
    <w:unhideWhenUsed/>
    <w:rsid w:val="00355095"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/>
  </w:style>
  <w:style w:type="paragraph" w:styleId="Style15" w:customStyle="1">
    <w:name w:val="Таблица шапка"/>
    <w:basedOn w:val="Normal"/>
    <w:qFormat/>
    <w:rsid w:val="00df726d"/>
    <w:pPr>
      <w:keepNext w:val="true"/>
      <w:snapToGrid w:val="false"/>
      <w:spacing w:lineRule="auto" w:line="240" w:before="40" w:after="40"/>
      <w:ind w:left="57" w:right="57" w:hanging="0"/>
      <w:jc w:val="left"/>
    </w:pPr>
    <w:rPr>
      <w:sz w:val="22"/>
    </w:rPr>
  </w:style>
  <w:style w:type="paragraph" w:styleId="25" w:customStyle="1">
    <w:name w:val="Основной текст 25"/>
    <w:basedOn w:val="Normal"/>
    <w:qFormat/>
    <w:rsid w:val="00df726d"/>
    <w:pPr>
      <w:spacing w:lineRule="auto" w:line="240"/>
    </w:pPr>
    <w:rPr>
      <w:sz w:val="24"/>
    </w:rPr>
  </w:style>
  <w:style w:type="paragraph" w:styleId="Style16">
    <w:name w:val="Содержимое таблицы"/>
    <w:basedOn w:val="Normal"/>
    <w:qFormat/>
    <w:pPr>
      <w:widowControl w:val="false"/>
      <w:suppressLineNumbers/>
    </w:pPr>
    <w:rPr/>
  </w:style>
  <w:style w:type="paragraph" w:styleId="Style17" w:customStyle="1">
    <w:name w:val="Пункт"/>
    <w:basedOn w:val="Normal"/>
    <w:link w:val="22"/>
    <w:qFormat/>
    <w:rsid w:val="00b77a30"/>
    <w:pPr>
      <w:tabs>
        <w:tab w:val="clear" w:pos="708"/>
        <w:tab w:val="left" w:pos="1134" w:leader="none"/>
      </w:tabs>
      <w:ind w:left="1134" w:hanging="1134"/>
    </w:pPr>
    <w:rPr/>
  </w:style>
  <w:style w:type="paragraph" w:styleId="-2" w:customStyle="1">
    <w:name w:val="Пункт-2"/>
    <w:basedOn w:val="Style17"/>
    <w:uiPriority w:val="99"/>
    <w:qFormat/>
    <w:rsid w:val="00b77a30"/>
    <w:pPr>
      <w:keepNext w:val="true"/>
      <w:tabs>
        <w:tab w:val="left" w:pos="1080" w:leader="none"/>
        <w:tab w:val="left" w:pos="1134" w:leader="none"/>
      </w:tabs>
      <w:ind w:left="360" w:hanging="360"/>
      <w:outlineLvl w:val="2"/>
    </w:pPr>
    <w:rPr>
      <w:b/>
    </w:rPr>
  </w:style>
  <w:style w:type="paragraph" w:styleId="Tabletext" w:customStyle="1">
    <w:name w:val="Table_text"/>
    <w:basedOn w:val="Normal"/>
    <w:qFormat/>
    <w:rsid w:val="00b77a30"/>
    <w:pPr>
      <w:spacing w:lineRule="auto" w:line="240"/>
      <w:ind w:hanging="0"/>
    </w:pPr>
    <w:rPr>
      <w:sz w:val="20"/>
      <w:szCs w:val="24"/>
    </w:rPr>
  </w:style>
  <w:style w:type="paragraph" w:styleId="Tableheader" w:customStyle="1">
    <w:name w:val="Table_header"/>
    <w:basedOn w:val="Normal"/>
    <w:qFormat/>
    <w:rsid w:val="00b77a30"/>
    <w:pPr>
      <w:spacing w:lineRule="auto" w:line="240" w:before="120" w:after="0"/>
      <w:ind w:hanging="0"/>
    </w:pPr>
    <w:rPr>
      <w:b/>
      <w:sz w:val="20"/>
      <w:szCs w:val="24"/>
    </w:rPr>
  </w:style>
  <w:style w:type="paragraph" w:styleId="Style18" w:customStyle="1">
    <w:name w:val="Подпункт"/>
    <w:basedOn w:val="Style17"/>
    <w:link w:val="11"/>
    <w:qFormat/>
    <w:rsid w:val="00e168dc"/>
    <w:pPr>
      <w:spacing w:lineRule="auto" w:line="240" w:before="120" w:after="0"/>
    </w:pPr>
    <w:rPr>
      <w:sz w:val="26"/>
      <w:szCs w:val="26"/>
    </w:rPr>
  </w:style>
  <w:style w:type="paragraph" w:styleId="Style19">
    <w:name w:val="[РГ] Текст"/>
    <w:basedOn w:val="Normal"/>
    <w:qFormat/>
    <w:pPr>
      <w:jc w:val="both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2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">
    <w:name w:val="Сетка таблицы10"/>
    <w:basedOn w:val="a1"/>
    <w:uiPriority w:val="59"/>
    <w:rsid w:val="00673bb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">
    <w:name w:val="Сетка таблицы2"/>
    <w:basedOn w:val="a1"/>
    <w:uiPriority w:val="59"/>
    <w:rsid w:val="006b14e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">
    <w:name w:val="Сетка таблицы3"/>
    <w:basedOn w:val="a1"/>
    <w:uiPriority w:val="59"/>
    <w:rsid w:val="00b306d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">
    <w:name w:val="Сетка таблицы4"/>
    <w:basedOn w:val="a1"/>
    <w:uiPriority w:val="59"/>
    <w:rsid w:val="003c4a7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">
    <w:name w:val="Сетка таблицы5"/>
    <w:basedOn w:val="a1"/>
    <w:uiPriority w:val="59"/>
    <w:rsid w:val="00344bf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9B4BD3-2A0A-4197-8CBC-255CFF2B4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Application>AlterOffice/3.3.1.3$Linux_X86_64 LibreOffice_project/90d829a0d92d6015ad4fa014ce4f460a7fe6c0ba</Application>
  <AppVersion>15.0000</AppVersion>
  <Pages>2</Pages>
  <Words>292</Words>
  <Characters>2052</Characters>
  <CharactersWithSpaces>2528</CharactersWithSpaces>
  <Paragraphs>53</Paragraphs>
  <Company>JSC DRSK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2024-10-22T09:25:00Z</dcterms:created>
  <dc:creator>okzt5</dc:creator>
  <dc:description/>
  <dc:language>ru-RU</dc:language>
  <cp:lastModifiedBy>ignatova_ta</cp:lastModifiedBy>
  <cp:lastPrinted>2020-09-29T05:36:00Z</cp:lastPrinted>
  <dcterms:modified xsi:type="dcterms:W3CDTF">2025-03-27T10:24:43Z</dcterms:modified>
  <cp:revision>15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